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B771B"/>
          <w:sz w:val="18"/>
        </w:rPr>
        <w:t>HERRAMIENTA 02</w:t>
      </w:r>
    </w:p>
    <w:p>
      <w:pPr>
        <w:spacing w:after="60"/>
      </w:pPr>
      <w:r>
        <w:rPr>
          <w:b/>
          <w:color w:val="044F5E"/>
          <w:sz w:val="42"/>
        </w:rPr>
        <w:t>Matriz de vinculación curricular</w:t>
      </w:r>
    </w:p>
    <w:p>
      <w:pPr>
        <w:spacing w:after="220"/>
      </w:pPr>
      <w:r>
        <w:t>Conectar actuaciones profesionales, módulos, resultados de aprendizaje, criterios y evidencias observables.</w:t>
      </w:r>
    </w:p>
    <w:p>
      <w:pPr>
        <w:spacing w:after="200"/>
      </w:pPr>
      <w:r>
        <w:t>Reto profesional: _________________________________________________________________________________________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8"/>
        <w:gridCol w:w="2041"/>
        <w:gridCol w:w="1474"/>
        <w:gridCol w:w="2494"/>
        <w:gridCol w:w="2608"/>
        <w:gridCol w:w="2211"/>
      </w:tblGrid>
      <w:tr>
        <w:tc>
          <w:tcPr>
            <w:tcW w:type="dxa" w:w="2476"/>
            <w:vAlign w:val="center"/>
            <w:shd w:fill="04505F"/>
          </w:tcPr>
          <w:p>
            <w:pPr>
              <w:spacing w:after="60"/>
            </w:pPr>
            <w:r/>
            <w:r>
              <w:rPr>
                <w:b/>
                <w:color w:val="FFFFFF"/>
                <w:sz w:val="18"/>
              </w:rPr>
              <w:t>Decisión / actuación profesional</w:t>
            </w:r>
          </w:p>
        </w:tc>
        <w:tc>
          <w:tcPr>
            <w:tcW w:type="dxa" w:w="2476"/>
            <w:vAlign w:val="center"/>
            <w:shd w:fill="04505F"/>
          </w:tcPr>
          <w:p>
            <w:pPr>
              <w:spacing w:after="60"/>
            </w:pPr>
            <w:r/>
            <w:r>
              <w:rPr>
                <w:b/>
                <w:color w:val="FFFFFF"/>
                <w:sz w:val="18"/>
              </w:rPr>
              <w:t>Módulo implicado</w:t>
            </w:r>
          </w:p>
        </w:tc>
        <w:tc>
          <w:tcPr>
            <w:tcW w:type="dxa" w:w="2476"/>
            <w:vAlign w:val="center"/>
            <w:shd w:fill="04505F"/>
          </w:tcPr>
          <w:p>
            <w:pPr>
              <w:spacing w:after="60"/>
            </w:pPr>
            <w:r/>
            <w:r>
              <w:rPr>
                <w:b/>
                <w:color w:val="FFFFFF"/>
                <w:sz w:val="18"/>
              </w:rPr>
              <w:t>RA concreto</w:t>
            </w:r>
          </w:p>
        </w:tc>
        <w:tc>
          <w:tcPr>
            <w:tcW w:type="dxa" w:w="2476"/>
            <w:vAlign w:val="center"/>
            <w:shd w:fill="04505F"/>
          </w:tcPr>
          <w:p>
            <w:pPr>
              <w:spacing w:after="60"/>
            </w:pPr>
            <w:r/>
            <w:r>
              <w:rPr>
                <w:b/>
                <w:color w:val="FFFFFF"/>
                <w:sz w:val="18"/>
              </w:rPr>
              <w:t>Criterio(s) de evaluación</w:t>
            </w:r>
          </w:p>
        </w:tc>
        <w:tc>
          <w:tcPr>
            <w:tcW w:type="dxa" w:w="2476"/>
            <w:vAlign w:val="center"/>
            <w:shd w:fill="04505F"/>
          </w:tcPr>
          <w:p>
            <w:pPr>
              <w:spacing w:after="60"/>
            </w:pPr>
            <w:r/>
            <w:r>
              <w:rPr>
                <w:b/>
                <w:color w:val="FFFFFF"/>
                <w:sz w:val="18"/>
              </w:rPr>
              <w:t>Evidencia observable</w:t>
            </w:r>
          </w:p>
        </w:tc>
        <w:tc>
          <w:tcPr>
            <w:tcW w:type="dxa" w:w="2476"/>
            <w:vAlign w:val="center"/>
            <w:shd w:fill="04505F"/>
          </w:tcPr>
          <w:p>
            <w:pPr>
              <w:spacing w:after="60"/>
            </w:pPr>
            <w:r/>
            <w:r>
              <w:rPr>
                <w:b/>
                <w:color w:val="FFFFFF"/>
                <w:sz w:val="18"/>
              </w:rPr>
              <w:t>Quién y cuándo evalúa</w:t>
            </w:r>
          </w:p>
        </w:tc>
      </w:tr>
      <w:tr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</w:tr>
      <w:tr>
        <w:tc>
          <w:tcPr>
            <w:tcW w:type="dxa" w:w="2476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</w:tr>
      <w:tr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</w:tr>
      <w:tr>
        <w:tc>
          <w:tcPr>
            <w:tcW w:type="dxa" w:w="2476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FFFFFF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</w:tr>
      <w:tr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  <w:tc>
          <w:tcPr>
            <w:tcW w:type="dxa" w:w="2476"/>
            <w:shd w:fill="EDF6F7"/>
            <w:vAlign w:val="center"/>
          </w:tcPr>
          <w:p>
            <w:pPr>
              <w:spacing w:after="60"/>
            </w:pPr>
            <w:r/>
            <w:r>
              <w:rPr>
                <w:b w:val="0"/>
                <w:color w:val="505F68"/>
                <w:sz w:val="18"/>
              </w:rPr>
              <w:br/>
              <w:br/>
              <w:br/>
            </w:r>
          </w:p>
        </w:tc>
      </w:tr>
    </w:tbl>
    <w:p>
      <w:r>
        <w:rPr>
          <w:i/>
        </w:rPr>
        <w:t>Uso: partir de las decisiones profesionales, relacionarlas con RA y criterios oficiales y definir evidencias observables e individuales.</w:t>
      </w:r>
    </w:p>
    <w:sectPr w:rsidR="00FC693F" w:rsidRPr="0006063C" w:rsidSect="00034616">
      <w:footerReference w:type="default" r:id="rId9"/>
      <w:pgSz w:w="16838" w:h="11906"/>
      <w:pgMar w:top="595" w:right="992" w:bottom="59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05F68"/>
        <w:sz w:val="16"/>
      </w:rPr>
      <w:t>UN RETO, VARIOS MÓDULOS  ·  Recursos de diseño intermodular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505F6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